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F6B63" w14:textId="77777777" w:rsidR="00D97D2A" w:rsidRDefault="00D97D2A" w:rsidP="00D07C57">
      <w:pPr>
        <w:spacing w:after="0"/>
        <w:rPr>
          <w:rFonts w:cs="Arial"/>
          <w:b/>
        </w:rPr>
      </w:pPr>
      <w:bookmarkStart w:id="0" w:name="_GoBack"/>
      <w:bookmarkEnd w:id="0"/>
    </w:p>
    <w:p w14:paraId="067DA18C" w14:textId="2F44DA38" w:rsidR="00153B00" w:rsidRDefault="00153B00" w:rsidP="00153B00">
      <w:pPr>
        <w:spacing w:after="0"/>
        <w:jc w:val="right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153B00" w14:paraId="446D8B3E" w14:textId="77777777" w:rsidTr="00153B00">
        <w:tc>
          <w:tcPr>
            <w:tcW w:w="4258" w:type="dxa"/>
          </w:tcPr>
          <w:p w14:paraId="17372F55" w14:textId="7F745F52" w:rsidR="00153B00" w:rsidRDefault="00153B00" w:rsidP="00D07C57">
            <w:pPr>
              <w:spacing w:after="0"/>
              <w:rPr>
                <w:rFonts w:cs="Arial"/>
                <w:b/>
              </w:rPr>
            </w:pPr>
            <w:r w:rsidRPr="008A2F0A">
              <w:rPr>
                <w:noProof/>
                <w:lang w:val="en-US"/>
              </w:rPr>
              <w:drawing>
                <wp:inline distT="0" distB="0" distL="0" distR="0" wp14:anchorId="2E79C9D9" wp14:editId="11414374">
                  <wp:extent cx="2496820" cy="1009650"/>
                  <wp:effectExtent l="19050" t="0" r="0" b="0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82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14:paraId="3B1F8CE9" w14:textId="779AB510" w:rsidR="00153B00" w:rsidRPr="00153B00" w:rsidRDefault="00153B00" w:rsidP="00C2669A">
            <w:pPr>
              <w:spacing w:after="0"/>
              <w:jc w:val="center"/>
              <w:rPr>
                <w:rFonts w:cs="Arial"/>
                <w:b/>
                <w:sz w:val="72"/>
                <w:szCs w:val="72"/>
              </w:rPr>
            </w:pPr>
            <w:r w:rsidRPr="00153B00">
              <w:rPr>
                <w:rFonts w:cs="Arial"/>
                <w:b/>
                <w:sz w:val="72"/>
                <w:szCs w:val="72"/>
              </w:rPr>
              <w:t xml:space="preserve">THE </w:t>
            </w:r>
            <w:r w:rsidR="00C2669A" w:rsidRPr="00153B00">
              <w:rPr>
                <w:rFonts w:cs="Arial"/>
                <w:b/>
                <w:sz w:val="72"/>
                <w:szCs w:val="72"/>
              </w:rPr>
              <w:t>201</w:t>
            </w:r>
            <w:r w:rsidR="00C2669A">
              <w:rPr>
                <w:rFonts w:cs="Arial"/>
                <w:b/>
                <w:sz w:val="72"/>
                <w:szCs w:val="72"/>
              </w:rPr>
              <w:t xml:space="preserve">5 </w:t>
            </w:r>
            <w:r w:rsidRPr="00153B00">
              <w:rPr>
                <w:rFonts w:cs="Arial"/>
                <w:b/>
                <w:sz w:val="72"/>
                <w:szCs w:val="72"/>
              </w:rPr>
              <w:t xml:space="preserve">APTAS </w:t>
            </w:r>
          </w:p>
        </w:tc>
      </w:tr>
    </w:tbl>
    <w:p w14:paraId="7B106E74" w14:textId="77777777" w:rsidR="00153B00" w:rsidRDefault="00153B00" w:rsidP="00D07C57">
      <w:pPr>
        <w:spacing w:after="0"/>
        <w:rPr>
          <w:rFonts w:cs="Arial"/>
          <w:b/>
        </w:rPr>
      </w:pPr>
    </w:p>
    <w:p w14:paraId="3DF87E5F" w14:textId="77777777" w:rsidR="00153B00" w:rsidRDefault="00153B00" w:rsidP="00D07C57">
      <w:pPr>
        <w:spacing w:after="0"/>
        <w:rPr>
          <w:rFonts w:cs="Arial"/>
          <w:b/>
        </w:rPr>
      </w:pPr>
    </w:p>
    <w:p w14:paraId="0F2F2DF0" w14:textId="7BBB1D28" w:rsidR="00D07C57" w:rsidRPr="00D07C57" w:rsidRDefault="00D07C57" w:rsidP="00D07C57">
      <w:pPr>
        <w:spacing w:after="0"/>
        <w:rPr>
          <w:rFonts w:cs="Arial"/>
          <w:b/>
        </w:rPr>
      </w:pPr>
      <w:r w:rsidRPr="00D07C57">
        <w:rPr>
          <w:rFonts w:cs="Arial"/>
          <w:b/>
        </w:rPr>
        <w:t>Australian Professional Teachers’ Association</w:t>
      </w:r>
    </w:p>
    <w:p w14:paraId="3FCFAEA7" w14:textId="77777777" w:rsidR="001B231B" w:rsidRDefault="001B231B" w:rsidP="00D07C57">
      <w:pPr>
        <w:spacing w:after="0"/>
        <w:rPr>
          <w:rFonts w:cs="Arial"/>
          <w:b/>
        </w:rPr>
      </w:pPr>
    </w:p>
    <w:p w14:paraId="582699B2" w14:textId="17E7F6BA" w:rsidR="001B231B" w:rsidRPr="001B231B" w:rsidRDefault="001B231B" w:rsidP="001B231B">
      <w:pPr>
        <w:spacing w:after="0"/>
        <w:jc w:val="both"/>
      </w:pPr>
      <w:r w:rsidRPr="001B231B">
        <w:t>The Australian Professional Teachers</w:t>
      </w:r>
      <w:r w:rsidR="003372A6">
        <w:t xml:space="preserve"> Association</w:t>
      </w:r>
      <w:r w:rsidRPr="001B231B">
        <w:t>’</w:t>
      </w:r>
      <w:r w:rsidR="003372A6">
        <w:t>s a</w:t>
      </w:r>
      <w:r w:rsidRPr="001B231B">
        <w:t>wards acknowledge the exemplary innovation and leadership carried out by individuals</w:t>
      </w:r>
      <w:r>
        <w:t xml:space="preserve"> and associations</w:t>
      </w:r>
      <w:r w:rsidRPr="001B231B">
        <w:t xml:space="preserve"> who have made outstanding contributions</w:t>
      </w:r>
      <w:r w:rsidR="0008378A">
        <w:t xml:space="preserve"> as volunteers</w:t>
      </w:r>
      <w:r w:rsidRPr="001B231B">
        <w:t xml:space="preserve"> to the work undertaken by professional teaching associations.</w:t>
      </w:r>
    </w:p>
    <w:p w14:paraId="5BE33667" w14:textId="77777777" w:rsidR="001B231B" w:rsidRPr="001B231B" w:rsidRDefault="001B231B" w:rsidP="001B231B">
      <w:pPr>
        <w:spacing w:after="0"/>
        <w:jc w:val="both"/>
      </w:pPr>
    </w:p>
    <w:p w14:paraId="36AAE71C" w14:textId="08F20D49" w:rsidR="001B231B" w:rsidRDefault="001B231B" w:rsidP="001B231B">
      <w:pPr>
        <w:spacing w:after="0"/>
        <w:jc w:val="both"/>
      </w:pPr>
      <w:r w:rsidRPr="001B231B">
        <w:t xml:space="preserve">To assist the APTA Awards Committee, </w:t>
      </w:r>
      <w:r w:rsidR="00893032">
        <w:t>APTA</w:t>
      </w:r>
      <w:r w:rsidRPr="001B231B">
        <w:t xml:space="preserve"> encourage</w:t>
      </w:r>
      <w:r w:rsidR="00893032">
        <w:t>s</w:t>
      </w:r>
      <w:r w:rsidRPr="001B231B">
        <w:t xml:space="preserve"> state and territory joint council boards to nominate worthy educators </w:t>
      </w:r>
      <w:r w:rsidR="003372A6">
        <w:t xml:space="preserve">and associations </w:t>
      </w:r>
      <w:r w:rsidRPr="001B231B">
        <w:t>to receive well deserved recognition for their outstanding service to professional teaching associations and the professional standing of teachers in Australia.</w:t>
      </w:r>
    </w:p>
    <w:p w14:paraId="62F1D232" w14:textId="77777777" w:rsidR="00D77DE4" w:rsidRDefault="00D77DE4" w:rsidP="001B231B">
      <w:pPr>
        <w:spacing w:after="0"/>
        <w:jc w:val="both"/>
      </w:pPr>
    </w:p>
    <w:p w14:paraId="7219A167" w14:textId="59864EC9" w:rsidR="00D77DE4" w:rsidRDefault="00D77DE4" w:rsidP="001B231B">
      <w:pPr>
        <w:spacing w:after="0"/>
        <w:jc w:val="both"/>
      </w:pPr>
      <w:r>
        <w:t xml:space="preserve">There are six APTA awards categories. </w:t>
      </w:r>
      <w:proofErr w:type="gramStart"/>
      <w:r w:rsidR="005A5058">
        <w:t>For the information about the award and the nomination form click on the link/s below.</w:t>
      </w:r>
      <w:proofErr w:type="gramEnd"/>
    </w:p>
    <w:p w14:paraId="0A2FB3F0" w14:textId="4177A427" w:rsidR="00D77DE4" w:rsidRPr="00D77DE4" w:rsidRDefault="00D77DE4" w:rsidP="00D77DE4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841"/>
      </w:tblGrid>
      <w:tr w:rsidR="00A32619" w14:paraId="399573DD" w14:textId="77777777" w:rsidTr="00153B00">
        <w:tc>
          <w:tcPr>
            <w:tcW w:w="8516" w:type="dxa"/>
            <w:gridSpan w:val="2"/>
          </w:tcPr>
          <w:p w14:paraId="4E053A2B" w14:textId="04D5FAE4" w:rsidR="00A32619" w:rsidRPr="00A32619" w:rsidRDefault="00A32619" w:rsidP="00A32619">
            <w:pPr>
              <w:spacing w:after="0"/>
              <w:jc w:val="center"/>
              <w:rPr>
                <w:rFonts w:cs="Arial"/>
                <w:color w:val="008000"/>
              </w:rPr>
            </w:pPr>
            <w:r w:rsidRPr="00A32619">
              <w:rPr>
                <w:b/>
                <w:color w:val="008000"/>
              </w:rPr>
              <w:t>The APTAs</w:t>
            </w:r>
          </w:p>
        </w:tc>
      </w:tr>
      <w:tr w:rsidR="005A5058" w14:paraId="0F70D360" w14:textId="77777777" w:rsidTr="00DB4A2C">
        <w:tc>
          <w:tcPr>
            <w:tcW w:w="675" w:type="dxa"/>
          </w:tcPr>
          <w:p w14:paraId="535E2922" w14:textId="4F9DCDDF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841" w:type="dxa"/>
          </w:tcPr>
          <w:p w14:paraId="2CFA0A7B" w14:textId="3DDBC07F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  <w:b/>
                <w:color w:val="008000"/>
              </w:rPr>
              <w:t>Award Criteria</w:t>
            </w:r>
          </w:p>
        </w:tc>
      </w:tr>
      <w:tr w:rsidR="005A5058" w14:paraId="737BA15C" w14:textId="77777777" w:rsidTr="00F00AF3">
        <w:tc>
          <w:tcPr>
            <w:tcW w:w="675" w:type="dxa"/>
          </w:tcPr>
          <w:p w14:paraId="358AC2DF" w14:textId="4D7BBB13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841" w:type="dxa"/>
          </w:tcPr>
          <w:p w14:paraId="117FEB89" w14:textId="30322649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rFonts w:cs="Arial"/>
                <w:b/>
                <w:color w:val="008000"/>
              </w:rPr>
              <w:t>The Dorothy Hoddinott Medal For Outstanding Lifetime Achievement</w:t>
            </w:r>
          </w:p>
        </w:tc>
      </w:tr>
      <w:tr w:rsidR="005A5058" w14:paraId="56A2EB13" w14:textId="77777777" w:rsidTr="000A56CC">
        <w:tc>
          <w:tcPr>
            <w:tcW w:w="675" w:type="dxa"/>
          </w:tcPr>
          <w:p w14:paraId="68EA4845" w14:textId="7BFE9F58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841" w:type="dxa"/>
          </w:tcPr>
          <w:p w14:paraId="775A19F6" w14:textId="295A529E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b/>
                <w:color w:val="008000"/>
              </w:rPr>
              <w:t>Early Career Teachers' Award</w:t>
            </w:r>
          </w:p>
        </w:tc>
      </w:tr>
      <w:tr w:rsidR="005A5058" w14:paraId="22AD4533" w14:textId="77777777" w:rsidTr="00D96F2F">
        <w:tc>
          <w:tcPr>
            <w:tcW w:w="675" w:type="dxa"/>
          </w:tcPr>
          <w:p w14:paraId="432129B8" w14:textId="4AFC93A6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841" w:type="dxa"/>
          </w:tcPr>
          <w:p w14:paraId="3FAB1E11" w14:textId="3EB81713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rFonts w:cs="Arial"/>
                <w:b/>
                <w:color w:val="008000"/>
              </w:rPr>
              <w:t>Award for Meritorious Contribution to the Profession</w:t>
            </w:r>
          </w:p>
        </w:tc>
      </w:tr>
      <w:tr w:rsidR="005A5058" w14:paraId="30BE2B21" w14:textId="77777777" w:rsidTr="00D3226C">
        <w:tc>
          <w:tcPr>
            <w:tcW w:w="675" w:type="dxa"/>
          </w:tcPr>
          <w:p w14:paraId="6C4472E4" w14:textId="183C0E7A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841" w:type="dxa"/>
          </w:tcPr>
          <w:p w14:paraId="121E5561" w14:textId="2F862CEC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rFonts w:cs="News Gothic MT"/>
                <w:b/>
                <w:color w:val="008000"/>
                <w:lang w:val="en-US" w:eastAsia="en-AU"/>
              </w:rPr>
              <w:t>Award for Exceptional Services to APTA</w:t>
            </w:r>
          </w:p>
        </w:tc>
      </w:tr>
      <w:tr w:rsidR="005A5058" w14:paraId="4655C926" w14:textId="77777777" w:rsidTr="004C7F8D">
        <w:tc>
          <w:tcPr>
            <w:tcW w:w="675" w:type="dxa"/>
          </w:tcPr>
          <w:p w14:paraId="0A895002" w14:textId="6002FB92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841" w:type="dxa"/>
          </w:tcPr>
          <w:p w14:paraId="314BDC79" w14:textId="1AEEE2FA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b/>
                <w:color w:val="008000"/>
              </w:rPr>
              <w:t xml:space="preserve">Innovative Association Award </w:t>
            </w:r>
          </w:p>
        </w:tc>
      </w:tr>
      <w:tr w:rsidR="005A5058" w14:paraId="05418A54" w14:textId="77777777" w:rsidTr="00872BE2">
        <w:tc>
          <w:tcPr>
            <w:tcW w:w="675" w:type="dxa"/>
          </w:tcPr>
          <w:p w14:paraId="6412A3AC" w14:textId="7B3055D6" w:rsidR="005A5058" w:rsidRDefault="005A5058" w:rsidP="00D77DE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841" w:type="dxa"/>
          </w:tcPr>
          <w:p w14:paraId="2B29FFA8" w14:textId="28659644" w:rsidR="005A5058" w:rsidRDefault="005A5058" w:rsidP="00D77DE4">
            <w:pPr>
              <w:spacing w:after="0"/>
              <w:rPr>
                <w:rFonts w:cs="Arial"/>
              </w:rPr>
            </w:pPr>
            <w:r w:rsidRPr="00A32619">
              <w:rPr>
                <w:rFonts w:cs="Arial"/>
                <w:b/>
                <w:color w:val="008000"/>
              </w:rPr>
              <w:t xml:space="preserve">Media Award </w:t>
            </w:r>
          </w:p>
        </w:tc>
      </w:tr>
    </w:tbl>
    <w:p w14:paraId="6316ABE4" w14:textId="77777777" w:rsidR="00D77DE4" w:rsidRPr="00D77DE4" w:rsidRDefault="00D77DE4" w:rsidP="00D77DE4">
      <w:pPr>
        <w:spacing w:after="0"/>
        <w:rPr>
          <w:rFonts w:cs="Arial"/>
        </w:rPr>
      </w:pPr>
    </w:p>
    <w:p w14:paraId="1D6C207A" w14:textId="77777777" w:rsidR="001B231B" w:rsidRPr="00D07C57" w:rsidRDefault="001B231B" w:rsidP="00D07C57">
      <w:pPr>
        <w:spacing w:after="0"/>
        <w:rPr>
          <w:rFonts w:cs="Arial"/>
          <w:b/>
        </w:rPr>
      </w:pPr>
    </w:p>
    <w:p w14:paraId="4083D082" w14:textId="77777777" w:rsidR="007C3E3B" w:rsidRPr="007C3E3B" w:rsidRDefault="007C3E3B" w:rsidP="007C3E3B">
      <w:pPr>
        <w:spacing w:line="240" w:lineRule="auto"/>
        <w:rPr>
          <w:rFonts w:asciiTheme="majorHAnsi" w:hAnsiTheme="majorHAnsi"/>
          <w:b/>
        </w:rPr>
      </w:pPr>
      <w:r w:rsidRPr="007C3E3B">
        <w:rPr>
          <w:rFonts w:asciiTheme="majorHAnsi" w:hAnsiTheme="majorHAnsi"/>
          <w:b/>
        </w:rPr>
        <w:t>Awards timeline</w:t>
      </w:r>
    </w:p>
    <w:p w14:paraId="1BE2D76E" w14:textId="1D0519D1" w:rsidR="007C3E3B" w:rsidRPr="007C3E3B" w:rsidRDefault="0011052B" w:rsidP="007C3E3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 December</w:t>
      </w:r>
      <w:r w:rsidR="00C2669A">
        <w:rPr>
          <w:rFonts w:asciiTheme="majorHAnsi" w:hAnsiTheme="majorHAnsi"/>
        </w:rPr>
        <w:t xml:space="preserve"> 2015</w:t>
      </w:r>
      <w:r w:rsidR="007C3E3B" w:rsidRPr="007C3E3B">
        <w:rPr>
          <w:rFonts w:asciiTheme="majorHAnsi" w:hAnsiTheme="majorHAnsi"/>
        </w:rPr>
        <w:t xml:space="preserve">: </w:t>
      </w:r>
      <w:r w:rsidR="007C3E3B" w:rsidRPr="007C3E3B">
        <w:rPr>
          <w:rFonts w:asciiTheme="majorHAnsi" w:hAnsiTheme="majorHAnsi"/>
        </w:rPr>
        <w:tab/>
        <w:t>Nominations information available</w:t>
      </w:r>
    </w:p>
    <w:p w14:paraId="686F6662" w14:textId="6242F580" w:rsidR="007C3E3B" w:rsidRPr="007C3E3B" w:rsidRDefault="0011052B" w:rsidP="007C3E3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9A3382">
        <w:rPr>
          <w:rFonts w:asciiTheme="majorHAnsi" w:hAnsiTheme="majorHAnsi"/>
        </w:rPr>
        <w:t>6</w:t>
      </w:r>
      <w:r w:rsidR="002239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February 2016</w:t>
      </w:r>
      <w:r w:rsidR="007C3E3B" w:rsidRPr="007C3E3B">
        <w:rPr>
          <w:rFonts w:asciiTheme="majorHAnsi" w:hAnsiTheme="majorHAnsi"/>
        </w:rPr>
        <w:t>:</w:t>
      </w:r>
      <w:r w:rsidR="007C3E3B" w:rsidRPr="007C3E3B">
        <w:rPr>
          <w:rFonts w:asciiTheme="majorHAnsi" w:hAnsiTheme="majorHAnsi"/>
        </w:rPr>
        <w:tab/>
        <w:t>Nominations close</w:t>
      </w:r>
    </w:p>
    <w:p w14:paraId="14B7AC20" w14:textId="66F0C2D2" w:rsidR="007C3E3B" w:rsidRPr="007C3E3B" w:rsidRDefault="0011052B" w:rsidP="007C3E3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 March 2016</w:t>
      </w:r>
      <w:r w:rsidR="007C3E3B" w:rsidRPr="007C3E3B">
        <w:rPr>
          <w:rFonts w:asciiTheme="majorHAnsi" w:hAnsiTheme="majorHAnsi"/>
        </w:rPr>
        <w:t>:</w:t>
      </w:r>
      <w:r w:rsidR="007C3E3B" w:rsidRPr="007C3E3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C3E3B" w:rsidRPr="007C3E3B">
        <w:rPr>
          <w:rFonts w:asciiTheme="majorHAnsi" w:hAnsiTheme="majorHAnsi"/>
        </w:rPr>
        <w:t>Awards selection completed</w:t>
      </w:r>
    </w:p>
    <w:p w14:paraId="6552F807" w14:textId="03B1628A" w:rsidR="007C3E3B" w:rsidRPr="007C3E3B" w:rsidRDefault="0011052B" w:rsidP="007C3E3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2239D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March 2016</w:t>
      </w:r>
      <w:r w:rsidR="007C3E3B" w:rsidRPr="007C3E3B">
        <w:rPr>
          <w:rFonts w:asciiTheme="majorHAnsi" w:hAnsiTheme="majorHAnsi"/>
        </w:rPr>
        <w:t>:</w:t>
      </w:r>
      <w:r w:rsidR="007C3E3B" w:rsidRPr="007C3E3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C3E3B" w:rsidRPr="007C3E3B">
        <w:rPr>
          <w:rFonts w:asciiTheme="majorHAnsi" w:hAnsiTheme="majorHAnsi"/>
        </w:rPr>
        <w:t>Successful nominees contacted</w:t>
      </w:r>
    </w:p>
    <w:p w14:paraId="3B020B6C" w14:textId="3DD10824" w:rsidR="007C3E3B" w:rsidRPr="007C3E3B" w:rsidRDefault="0011052B" w:rsidP="007C3E3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8 April 2016</w:t>
      </w:r>
      <w:r w:rsidR="002239D6">
        <w:rPr>
          <w:rFonts w:asciiTheme="majorHAnsi" w:hAnsiTheme="majorHAnsi"/>
        </w:rPr>
        <w:t>:</w:t>
      </w:r>
      <w:r w:rsidR="007C3E3B" w:rsidRPr="007C3E3B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C3E3B" w:rsidRPr="007C3E3B">
        <w:rPr>
          <w:rFonts w:asciiTheme="majorHAnsi" w:hAnsiTheme="majorHAnsi"/>
        </w:rPr>
        <w:t>Awards conferred</w:t>
      </w:r>
    </w:p>
    <w:p w14:paraId="36F78657" w14:textId="20EEFDF2" w:rsidR="00A32619" w:rsidRDefault="00A32619">
      <w:pPr>
        <w:spacing w:after="0" w:line="240" w:lineRule="auto"/>
        <w:rPr>
          <w:rFonts w:cs="Arial"/>
          <w:b/>
        </w:rPr>
      </w:pPr>
    </w:p>
    <w:p w14:paraId="58CC16F0" w14:textId="6F29F060" w:rsidR="00D07C57" w:rsidRPr="00D07C57" w:rsidRDefault="00D07C57" w:rsidP="00D07C57">
      <w:pPr>
        <w:spacing w:after="0"/>
        <w:rPr>
          <w:rFonts w:cs="Arial"/>
          <w:b/>
        </w:rPr>
      </w:pPr>
      <w:r w:rsidRPr="00D07C57">
        <w:rPr>
          <w:rFonts w:cs="Arial"/>
          <w:b/>
        </w:rPr>
        <w:t>The Dorothy Hoddinott Medal</w:t>
      </w:r>
      <w:r w:rsidR="00D77DE4">
        <w:rPr>
          <w:rFonts w:cs="Arial"/>
          <w:b/>
        </w:rPr>
        <w:t xml:space="preserve"> </w:t>
      </w:r>
      <w:r w:rsidRPr="00D07C57">
        <w:rPr>
          <w:rFonts w:cs="Arial"/>
          <w:b/>
        </w:rPr>
        <w:t>For Outstanding Lifetime Achievement</w:t>
      </w:r>
    </w:p>
    <w:p w14:paraId="2898E86E" w14:textId="77777777" w:rsidR="00D07C57" w:rsidRPr="00D07C57" w:rsidRDefault="00D07C57" w:rsidP="00D07C57">
      <w:pPr>
        <w:spacing w:after="0"/>
        <w:rPr>
          <w:rFonts w:cs="Arial"/>
          <w:b/>
        </w:rPr>
      </w:pPr>
      <w:r w:rsidRPr="00D07C57">
        <w:rPr>
          <w:rFonts w:cs="Arial"/>
          <w:b/>
        </w:rPr>
        <w:t>(One award)</w:t>
      </w:r>
    </w:p>
    <w:p w14:paraId="0D198560" w14:textId="77777777" w:rsidR="00D07C57" w:rsidRPr="00D07C57" w:rsidRDefault="00D07C57" w:rsidP="00D07C57">
      <w:pPr>
        <w:spacing w:after="0"/>
        <w:rPr>
          <w:rFonts w:cs="Arial"/>
        </w:rPr>
      </w:pPr>
    </w:p>
    <w:p w14:paraId="271E7D4E" w14:textId="77777777" w:rsidR="00D07C57" w:rsidRPr="00D07C57" w:rsidRDefault="00D07C57" w:rsidP="00D07C57">
      <w:pPr>
        <w:pStyle w:val="Body1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Wide recognition as an innovative leader of high quality professional learning and engagement whose impact has directly influenced the work of teachers and improved student learning</w:t>
      </w:r>
    </w:p>
    <w:p w14:paraId="57B9F379" w14:textId="77777777" w:rsidR="00D07C57" w:rsidRPr="00D07C57" w:rsidRDefault="00D07C57" w:rsidP="00D07C57">
      <w:pPr>
        <w:pStyle w:val="ListParagraph"/>
        <w:spacing w:after="0"/>
        <w:ind w:left="360"/>
        <w:rPr>
          <w:rFonts w:cs="Arial"/>
        </w:rPr>
      </w:pPr>
    </w:p>
    <w:p w14:paraId="13BE5681" w14:textId="77777777" w:rsidR="00D07C57" w:rsidRPr="00D07C57" w:rsidRDefault="00D07C57" w:rsidP="00D07C5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07C57">
        <w:rPr>
          <w:rFonts w:cs="Arial"/>
        </w:rPr>
        <w:t>Sustained contribution to the teaching profession through significant, exemplary involvement in professional teaching associations at local, national and international levels</w:t>
      </w:r>
    </w:p>
    <w:p w14:paraId="08095BC6" w14:textId="77777777" w:rsidR="00D07C57" w:rsidRPr="00D07C57" w:rsidRDefault="00D07C57" w:rsidP="00D07C57">
      <w:pPr>
        <w:pStyle w:val="ListParagraph"/>
        <w:spacing w:after="0"/>
        <w:ind w:left="360"/>
        <w:rPr>
          <w:rFonts w:cs="Arial"/>
        </w:rPr>
      </w:pPr>
    </w:p>
    <w:p w14:paraId="6A12644A" w14:textId="77777777" w:rsidR="00D07C57" w:rsidRPr="00D07C57" w:rsidRDefault="00D07C57" w:rsidP="00D07C57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r w:rsidRPr="00D07C57">
        <w:rPr>
          <w:rFonts w:cs="Arial"/>
        </w:rPr>
        <w:t>Sustained advocacy and influence at a local, national and international levels promoting the professional status of teachers.</w:t>
      </w:r>
    </w:p>
    <w:p w14:paraId="5E9E4EE9" w14:textId="77777777" w:rsidR="00D07C57" w:rsidRPr="00D07C57" w:rsidRDefault="00D07C57" w:rsidP="00D07C57">
      <w:pPr>
        <w:pStyle w:val="Body1"/>
        <w:rPr>
          <w:rFonts w:ascii="Calibri" w:hAnsi="Calibri"/>
          <w:sz w:val="22"/>
          <w:szCs w:val="22"/>
        </w:rPr>
      </w:pPr>
    </w:p>
    <w:p w14:paraId="7A462D4A" w14:textId="04E99732" w:rsidR="00D07C57" w:rsidRDefault="005A5058" w:rsidP="005A5058">
      <w:pPr>
        <w:spacing w:after="0"/>
        <w:rPr>
          <w:rFonts w:cs="Arial"/>
        </w:rPr>
      </w:pPr>
      <w:r>
        <w:rPr>
          <w:rFonts w:cs="Arial"/>
        </w:rPr>
        <w:t>Click here for nomination form.</w:t>
      </w:r>
    </w:p>
    <w:p w14:paraId="1E282394" w14:textId="77777777" w:rsidR="005A5058" w:rsidRPr="00D07C57" w:rsidRDefault="005A5058" w:rsidP="005A5058">
      <w:pPr>
        <w:spacing w:after="0"/>
        <w:rPr>
          <w:rFonts w:cs="Arial"/>
        </w:rPr>
      </w:pPr>
    </w:p>
    <w:p w14:paraId="5E4622DC" w14:textId="36091312" w:rsidR="00D07C57" w:rsidRPr="00D07C57" w:rsidRDefault="00D07C57" w:rsidP="00D07C57">
      <w:pPr>
        <w:pStyle w:val="Body1"/>
        <w:rPr>
          <w:rFonts w:ascii="Calibri" w:hAnsi="Calibri"/>
          <w:b/>
          <w:sz w:val="22"/>
          <w:szCs w:val="22"/>
        </w:rPr>
      </w:pPr>
      <w:r w:rsidRPr="00D07C57">
        <w:rPr>
          <w:rFonts w:ascii="Calibri" w:hAnsi="Calibri"/>
          <w:b/>
          <w:sz w:val="22"/>
          <w:szCs w:val="22"/>
        </w:rPr>
        <w:t>Early Career Teachers' Award</w:t>
      </w:r>
      <w:r w:rsidR="005A5058">
        <w:rPr>
          <w:rFonts w:ascii="Calibri" w:hAnsi="Calibri"/>
          <w:b/>
          <w:sz w:val="22"/>
          <w:szCs w:val="22"/>
        </w:rPr>
        <w:t xml:space="preserve">  </w:t>
      </w:r>
      <w:r w:rsidRPr="00D07C57">
        <w:rPr>
          <w:rFonts w:ascii="Calibri" w:hAnsi="Calibri"/>
          <w:b/>
          <w:sz w:val="22"/>
          <w:szCs w:val="22"/>
        </w:rPr>
        <w:t>(One Award)</w:t>
      </w:r>
    </w:p>
    <w:p w14:paraId="5BE1ECB2" w14:textId="77777777" w:rsidR="00D07C57" w:rsidRPr="00D07C57" w:rsidRDefault="00D07C57" w:rsidP="00D07C57">
      <w:pPr>
        <w:pStyle w:val="Body1"/>
        <w:rPr>
          <w:rFonts w:ascii="Calibri" w:hAnsi="Calibri"/>
          <w:sz w:val="22"/>
          <w:szCs w:val="22"/>
        </w:rPr>
      </w:pPr>
    </w:p>
    <w:p w14:paraId="054243B5" w14:textId="3F234C05" w:rsidR="00D07C57" w:rsidRPr="005A5058" w:rsidRDefault="005A5058" w:rsidP="005A5058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teacher </w:t>
      </w:r>
      <w:r w:rsidRPr="005A5058">
        <w:rPr>
          <w:rFonts w:ascii="Calibri" w:hAnsi="Calibri"/>
          <w:sz w:val="22"/>
          <w:szCs w:val="22"/>
        </w:rPr>
        <w:t>i</w:t>
      </w:r>
      <w:r w:rsidR="00D07C57" w:rsidRPr="005A5058">
        <w:rPr>
          <w:rFonts w:ascii="Calibri" w:hAnsi="Calibri"/>
          <w:sz w:val="22"/>
          <w:szCs w:val="22"/>
        </w:rPr>
        <w:t xml:space="preserve">s in their first five years of teaching </w:t>
      </w:r>
    </w:p>
    <w:p w14:paraId="5A2C1E77" w14:textId="4B5FAB87" w:rsidR="00D07C57" w:rsidRPr="00D07C57" w:rsidRDefault="005A5058" w:rsidP="00D07C57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teacher i</w:t>
      </w:r>
      <w:r w:rsidR="00D07C57" w:rsidRPr="00D07C57">
        <w:rPr>
          <w:rFonts w:ascii="Calibri" w:hAnsi="Calibri"/>
          <w:sz w:val="22"/>
          <w:szCs w:val="22"/>
        </w:rPr>
        <w:t xml:space="preserve">s a member of a joint council member professional teaching association </w:t>
      </w:r>
    </w:p>
    <w:p w14:paraId="69999F68" w14:textId="7A6651E7" w:rsidR="00D07C57" w:rsidRPr="005A5058" w:rsidRDefault="005A5058" w:rsidP="005A5058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teacher is</w:t>
      </w:r>
      <w:r w:rsidR="00D07C57" w:rsidRPr="005A5058">
        <w:rPr>
          <w:rFonts w:ascii="Calibri" w:hAnsi="Calibri"/>
          <w:sz w:val="22"/>
          <w:szCs w:val="22"/>
        </w:rPr>
        <w:t xml:space="preserve"> an advocate for and promotes professional teaching association</w:t>
      </w:r>
    </w:p>
    <w:p w14:paraId="4585535D" w14:textId="1C1D623E" w:rsidR="00D07C57" w:rsidRPr="00D07C57" w:rsidRDefault="005A5058" w:rsidP="00D07C57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teacher is a</w:t>
      </w:r>
      <w:r w:rsidR="00D07C57" w:rsidRPr="00D07C57">
        <w:rPr>
          <w:rFonts w:ascii="Calibri" w:hAnsi="Calibri"/>
          <w:sz w:val="22"/>
          <w:szCs w:val="22"/>
        </w:rPr>
        <w:t>ctively supports the objectives and purposes of professional teaching associations in the professional work of teachers</w:t>
      </w:r>
    </w:p>
    <w:p w14:paraId="26DBF6EC" w14:textId="17A2EFC1" w:rsidR="00D07C57" w:rsidRPr="00D07C57" w:rsidRDefault="005A5058" w:rsidP="00D07C57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teacher w</w:t>
      </w:r>
      <w:r w:rsidR="00D07C57" w:rsidRPr="00D07C57">
        <w:rPr>
          <w:rFonts w:ascii="Calibri" w:hAnsi="Calibri"/>
          <w:sz w:val="22"/>
          <w:szCs w:val="22"/>
        </w:rPr>
        <w:t>orks collaboratively with teachers to identify professional needs, plan, implement and evaluate professional learning of teachers</w:t>
      </w:r>
    </w:p>
    <w:p w14:paraId="5F9C70EF" w14:textId="51737A12" w:rsidR="00D07C57" w:rsidRPr="00D07C57" w:rsidRDefault="005A5058" w:rsidP="00D07C57">
      <w:pPr>
        <w:pStyle w:val="Body1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teacher h</w:t>
      </w:r>
      <w:r w:rsidR="00D07C57" w:rsidRPr="00D07C57">
        <w:rPr>
          <w:rFonts w:ascii="Calibri" w:hAnsi="Calibri"/>
          <w:sz w:val="22"/>
          <w:szCs w:val="22"/>
        </w:rPr>
        <w:t>as made an outstanding contribution to professional teaching associations and builds productive links with the wider community.</w:t>
      </w:r>
    </w:p>
    <w:p w14:paraId="0FA55951" w14:textId="77777777" w:rsidR="00D07C57" w:rsidRPr="00D07C57" w:rsidRDefault="00D07C57" w:rsidP="00D07C57">
      <w:pPr>
        <w:spacing w:after="0"/>
        <w:ind w:left="360"/>
        <w:rPr>
          <w:rFonts w:cs="Arial"/>
        </w:rPr>
      </w:pPr>
    </w:p>
    <w:p w14:paraId="229B41F9" w14:textId="77777777" w:rsidR="005A5058" w:rsidRDefault="005A5058" w:rsidP="005A5058">
      <w:pPr>
        <w:spacing w:after="0"/>
        <w:rPr>
          <w:rFonts w:cs="Arial"/>
        </w:rPr>
      </w:pPr>
      <w:r>
        <w:rPr>
          <w:rFonts w:cs="Arial"/>
        </w:rPr>
        <w:t>Click here for nomination form.</w:t>
      </w:r>
    </w:p>
    <w:p w14:paraId="55603FC2" w14:textId="6B0B1115" w:rsidR="00D07C57" w:rsidRDefault="00D07C57">
      <w:pPr>
        <w:spacing w:after="0" w:line="240" w:lineRule="auto"/>
        <w:rPr>
          <w:rFonts w:cs="Arial"/>
        </w:rPr>
      </w:pPr>
    </w:p>
    <w:p w14:paraId="687ACC51" w14:textId="77777777" w:rsidR="00D07C57" w:rsidRPr="00D07C57" w:rsidRDefault="00D07C57" w:rsidP="00D07C57">
      <w:pPr>
        <w:spacing w:after="0" w:line="240" w:lineRule="auto"/>
        <w:ind w:firstLine="360"/>
        <w:rPr>
          <w:rFonts w:cs="Arial"/>
          <w:b/>
        </w:rPr>
      </w:pPr>
      <w:r w:rsidRPr="00D07C57">
        <w:rPr>
          <w:rFonts w:cs="Arial"/>
          <w:b/>
        </w:rPr>
        <w:t>Award for Meritorious Contribution to the Profession</w:t>
      </w:r>
    </w:p>
    <w:p w14:paraId="49FD2D45" w14:textId="77777777" w:rsidR="00D07C57" w:rsidRPr="00D07C57" w:rsidRDefault="00D07C57" w:rsidP="00D07C57">
      <w:pPr>
        <w:spacing w:after="0"/>
        <w:ind w:left="360"/>
        <w:rPr>
          <w:rFonts w:cs="Arial"/>
          <w:b/>
        </w:rPr>
      </w:pPr>
      <w:r w:rsidRPr="00D07C57">
        <w:rPr>
          <w:rFonts w:cs="Arial"/>
          <w:b/>
        </w:rPr>
        <w:t>(Up to 8 Awards)</w:t>
      </w:r>
    </w:p>
    <w:p w14:paraId="10BE94D9" w14:textId="77777777" w:rsidR="00D07C57" w:rsidRPr="00D07C57" w:rsidRDefault="00D07C57" w:rsidP="00D07C57">
      <w:pPr>
        <w:spacing w:after="0"/>
        <w:ind w:left="360"/>
        <w:rPr>
          <w:rFonts w:cs="Arial"/>
        </w:rPr>
      </w:pPr>
    </w:p>
    <w:p w14:paraId="7A610811" w14:textId="77777777" w:rsidR="00D07C57" w:rsidRPr="00D07C57" w:rsidRDefault="00D07C57" w:rsidP="00D07C5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07C57">
        <w:rPr>
          <w:rFonts w:cs="Arial"/>
        </w:rPr>
        <w:t>Contribution to the professional standing of teachers through involvement in high quality activities that highlight the work of professional teaching associations;</w:t>
      </w:r>
    </w:p>
    <w:p w14:paraId="777F8010" w14:textId="77777777" w:rsidR="00D07C57" w:rsidRPr="00D07C57" w:rsidRDefault="00D07C57" w:rsidP="00D07C5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07C57">
        <w:rPr>
          <w:rFonts w:cs="Arial"/>
        </w:rPr>
        <w:t>Acted as a mentor and facilitator for colleagues in promoting and leading high quality professional learning activities and those carried out by the professional teaching associations;</w:t>
      </w:r>
    </w:p>
    <w:p w14:paraId="7160EACF" w14:textId="77777777" w:rsidR="00D07C57" w:rsidRPr="00D07C57" w:rsidRDefault="00D07C57" w:rsidP="00D07C5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07C57">
        <w:rPr>
          <w:rFonts w:cs="Arial"/>
        </w:rPr>
        <w:t>Actively support the objectives and purposes of professional teaching associations in the professional work of teachers;</w:t>
      </w:r>
    </w:p>
    <w:p w14:paraId="2E1CF0ED" w14:textId="77777777" w:rsidR="00D07C57" w:rsidRPr="00D07C57" w:rsidRDefault="00D07C57" w:rsidP="00D07C5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07C57">
        <w:rPr>
          <w:rFonts w:cs="Arial"/>
        </w:rPr>
        <w:t>Made a significant impact on the work of teachers through their ability to creatively implement change through professional learning;</w:t>
      </w:r>
    </w:p>
    <w:p w14:paraId="275372F7" w14:textId="77777777" w:rsidR="00D07C57" w:rsidRDefault="00D07C57" w:rsidP="00D07C57">
      <w:pPr>
        <w:pStyle w:val="ListParagraph"/>
        <w:numPr>
          <w:ilvl w:val="0"/>
          <w:numId w:val="2"/>
        </w:numPr>
        <w:spacing w:after="0"/>
        <w:rPr>
          <w:rFonts w:cs="Arial"/>
        </w:rPr>
      </w:pPr>
      <w:r w:rsidRPr="00D07C57">
        <w:rPr>
          <w:rFonts w:cs="Arial"/>
        </w:rPr>
        <w:t>Contributing in building capacity and sustainability of professional teaching associations.</w:t>
      </w:r>
    </w:p>
    <w:p w14:paraId="561EDC5B" w14:textId="77777777" w:rsidR="005A5058" w:rsidRDefault="005A5058" w:rsidP="005A5058">
      <w:pPr>
        <w:spacing w:after="0"/>
        <w:ind w:left="360"/>
        <w:rPr>
          <w:rFonts w:cs="Arial"/>
        </w:rPr>
      </w:pPr>
    </w:p>
    <w:p w14:paraId="2420387E" w14:textId="77777777" w:rsidR="005A5058" w:rsidRPr="005A5058" w:rsidRDefault="005A5058" w:rsidP="005A5058">
      <w:pPr>
        <w:spacing w:after="0"/>
        <w:ind w:left="360"/>
        <w:rPr>
          <w:rFonts w:cs="Arial"/>
        </w:rPr>
      </w:pPr>
      <w:r w:rsidRPr="005A5058">
        <w:rPr>
          <w:rFonts w:cs="Arial"/>
        </w:rPr>
        <w:t>Click here for nomination form.</w:t>
      </w:r>
    </w:p>
    <w:p w14:paraId="393EC44D" w14:textId="77777777" w:rsidR="005A5058" w:rsidRPr="005A5058" w:rsidRDefault="005A5058" w:rsidP="005A5058">
      <w:pPr>
        <w:spacing w:after="0"/>
        <w:ind w:left="360"/>
        <w:rPr>
          <w:rFonts w:cs="Arial"/>
        </w:rPr>
      </w:pPr>
    </w:p>
    <w:p w14:paraId="476E306B" w14:textId="77777777" w:rsidR="00D07C57" w:rsidRPr="00D07C57" w:rsidRDefault="00D07C57" w:rsidP="00D07C57">
      <w:pPr>
        <w:pStyle w:val="ListParagraph"/>
        <w:spacing w:after="0"/>
        <w:rPr>
          <w:rFonts w:cs="Arial"/>
        </w:rPr>
      </w:pPr>
    </w:p>
    <w:p w14:paraId="694445AC" w14:textId="77777777" w:rsidR="00D07C57" w:rsidRPr="00D07C57" w:rsidRDefault="00D07C57" w:rsidP="00D07C57">
      <w:pPr>
        <w:pStyle w:val="Body1"/>
        <w:rPr>
          <w:rFonts w:ascii="Calibri" w:hAnsi="Calibri" w:cs="News Gothic MT"/>
          <w:b/>
          <w:sz w:val="22"/>
          <w:szCs w:val="22"/>
          <w:lang w:val="en-US" w:eastAsia="en-AU"/>
        </w:rPr>
      </w:pPr>
      <w:r w:rsidRPr="00D07C57">
        <w:rPr>
          <w:rFonts w:ascii="Calibri" w:hAnsi="Calibri" w:cs="News Gothic MT"/>
          <w:b/>
          <w:sz w:val="22"/>
          <w:szCs w:val="22"/>
          <w:lang w:val="en-US" w:eastAsia="en-AU"/>
        </w:rPr>
        <w:t>Award for Exceptional Services to APTA</w:t>
      </w:r>
    </w:p>
    <w:p w14:paraId="7B31B84A" w14:textId="77777777" w:rsidR="00D07C57" w:rsidRPr="00D07C57" w:rsidRDefault="00D07C57" w:rsidP="00D07C57">
      <w:pPr>
        <w:pStyle w:val="Body1"/>
        <w:rPr>
          <w:rFonts w:ascii="Calibri" w:hAnsi="Calibri" w:cs="News Gothic MT"/>
          <w:sz w:val="22"/>
          <w:szCs w:val="22"/>
          <w:lang w:val="en-US" w:eastAsia="en-AU"/>
        </w:rPr>
      </w:pPr>
    </w:p>
    <w:p w14:paraId="3D77E2CC" w14:textId="77777777" w:rsidR="00D07C57" w:rsidRPr="00D07C57" w:rsidRDefault="00D07C57" w:rsidP="00D07C57">
      <w:pPr>
        <w:pStyle w:val="Body1"/>
        <w:rPr>
          <w:rFonts w:ascii="Calibri" w:hAnsi="Calibri" w:cs="News Gothic MT"/>
          <w:sz w:val="22"/>
          <w:szCs w:val="22"/>
          <w:lang w:val="en-US" w:eastAsia="en-AU"/>
        </w:rPr>
      </w:pPr>
      <w:r w:rsidRPr="00D07C57">
        <w:rPr>
          <w:rFonts w:ascii="Calibri" w:hAnsi="Calibri" w:cs="News Gothic MT"/>
          <w:sz w:val="22"/>
          <w:szCs w:val="22"/>
          <w:lang w:val="en-US" w:eastAsia="en-AU"/>
        </w:rPr>
        <w:t>This award is presented to an APTA member who has made an outstanding contribution in furthering the Objects of the APTA Board.</w:t>
      </w:r>
    </w:p>
    <w:p w14:paraId="3B4485F3" w14:textId="77777777" w:rsidR="00D07C57" w:rsidRPr="00D07C57" w:rsidRDefault="00D07C57" w:rsidP="00D07C57">
      <w:pPr>
        <w:pStyle w:val="Body1"/>
        <w:rPr>
          <w:rFonts w:ascii="Calibri" w:hAnsi="Calibri" w:cs="News Gothic MT"/>
          <w:sz w:val="22"/>
          <w:szCs w:val="22"/>
          <w:lang w:val="en-US" w:eastAsia="en-AU"/>
        </w:rPr>
      </w:pPr>
    </w:p>
    <w:p w14:paraId="4ED38CF3" w14:textId="77777777" w:rsidR="00D07C57" w:rsidRPr="00D07C57" w:rsidRDefault="00D07C57" w:rsidP="00D07C57">
      <w:pPr>
        <w:pStyle w:val="Body1"/>
        <w:rPr>
          <w:rFonts w:ascii="Calibri" w:hAnsi="Calibri"/>
          <w:b/>
          <w:sz w:val="22"/>
          <w:szCs w:val="22"/>
        </w:rPr>
      </w:pPr>
    </w:p>
    <w:p w14:paraId="24D31FAB" w14:textId="77777777" w:rsidR="00D07C57" w:rsidRPr="00D07C57" w:rsidRDefault="00D07C57" w:rsidP="00D07C57">
      <w:pPr>
        <w:pStyle w:val="Body1"/>
        <w:rPr>
          <w:rFonts w:ascii="Calibri" w:hAnsi="Calibri"/>
          <w:b/>
          <w:sz w:val="22"/>
          <w:szCs w:val="22"/>
        </w:rPr>
      </w:pPr>
      <w:r w:rsidRPr="00D07C57">
        <w:rPr>
          <w:rFonts w:ascii="Calibri" w:hAnsi="Calibri"/>
          <w:b/>
          <w:sz w:val="22"/>
          <w:szCs w:val="22"/>
        </w:rPr>
        <w:t xml:space="preserve">Innovative Association Award </w:t>
      </w:r>
    </w:p>
    <w:p w14:paraId="5272B158" w14:textId="78960B3F" w:rsidR="00D07C57" w:rsidRPr="00D07C57" w:rsidRDefault="00D07C57" w:rsidP="00D07C57">
      <w:pPr>
        <w:pStyle w:val="Body1"/>
        <w:rPr>
          <w:rFonts w:ascii="Calibri" w:hAnsi="Calibri"/>
          <w:b/>
          <w:sz w:val="22"/>
          <w:szCs w:val="22"/>
        </w:rPr>
      </w:pPr>
      <w:r w:rsidRPr="00D07C57">
        <w:rPr>
          <w:rFonts w:ascii="Calibri" w:hAnsi="Calibri"/>
          <w:b/>
          <w:sz w:val="22"/>
          <w:szCs w:val="22"/>
        </w:rPr>
        <w:t>(</w:t>
      </w:r>
      <w:r w:rsidR="003372A6">
        <w:rPr>
          <w:rFonts w:ascii="Calibri" w:hAnsi="Calibri"/>
          <w:b/>
          <w:sz w:val="22"/>
          <w:szCs w:val="22"/>
        </w:rPr>
        <w:t>U</w:t>
      </w:r>
      <w:r w:rsidR="002F1D80">
        <w:rPr>
          <w:rFonts w:ascii="Calibri" w:hAnsi="Calibri"/>
          <w:b/>
          <w:sz w:val="22"/>
          <w:szCs w:val="22"/>
        </w:rPr>
        <w:t xml:space="preserve">p to </w:t>
      </w:r>
      <w:r w:rsidR="000742E8">
        <w:rPr>
          <w:rFonts w:ascii="Calibri" w:hAnsi="Calibri"/>
          <w:b/>
          <w:sz w:val="22"/>
          <w:szCs w:val="22"/>
        </w:rPr>
        <w:t>4</w:t>
      </w:r>
      <w:r w:rsidRPr="00D07C57">
        <w:rPr>
          <w:rFonts w:ascii="Calibri" w:hAnsi="Calibri"/>
          <w:b/>
          <w:sz w:val="22"/>
          <w:szCs w:val="22"/>
        </w:rPr>
        <w:t xml:space="preserve"> Awards)</w:t>
      </w:r>
    </w:p>
    <w:p w14:paraId="150A6F16" w14:textId="77777777" w:rsidR="00D07C57" w:rsidRPr="00D07C57" w:rsidRDefault="00D07C57" w:rsidP="00D07C57">
      <w:pPr>
        <w:pStyle w:val="Body1"/>
        <w:rPr>
          <w:rFonts w:ascii="Calibri" w:hAnsi="Calibri"/>
          <w:sz w:val="22"/>
          <w:szCs w:val="22"/>
        </w:rPr>
      </w:pPr>
    </w:p>
    <w:p w14:paraId="4C546AF8" w14:textId="63BE185F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 xml:space="preserve">Must be a </w:t>
      </w:r>
      <w:r w:rsidR="00531781">
        <w:rPr>
          <w:rFonts w:ascii="Calibri" w:hAnsi="Calibri"/>
          <w:sz w:val="22"/>
          <w:szCs w:val="22"/>
        </w:rPr>
        <w:t xml:space="preserve">financial </w:t>
      </w:r>
      <w:r w:rsidRPr="00D07C57">
        <w:rPr>
          <w:rFonts w:ascii="Calibri" w:hAnsi="Calibri"/>
          <w:sz w:val="22"/>
          <w:szCs w:val="22"/>
        </w:rPr>
        <w:t>member association of a state or territory joint council</w:t>
      </w:r>
      <w:r w:rsidR="00AF6A64">
        <w:rPr>
          <w:rFonts w:ascii="Calibri" w:hAnsi="Calibri"/>
          <w:sz w:val="22"/>
          <w:szCs w:val="22"/>
        </w:rPr>
        <w:t xml:space="preserve"> or an affiliate member of APTA</w:t>
      </w:r>
    </w:p>
    <w:p w14:paraId="5D988CF9" w14:textId="77777777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Innovatively supports the vision and priorities of APTA in professional learning</w:t>
      </w:r>
    </w:p>
    <w:p w14:paraId="40652757" w14:textId="77777777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Developing productive and strategic partnerships with key stakeholders</w:t>
      </w:r>
    </w:p>
    <w:p w14:paraId="03A30A41" w14:textId="77777777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Demonstrated leadership in innovative practices that provide high quality support to their members</w:t>
      </w:r>
    </w:p>
    <w:p w14:paraId="20CD0455" w14:textId="77777777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Exemplary practices in governance of the association</w:t>
      </w:r>
    </w:p>
    <w:p w14:paraId="742BE480" w14:textId="77777777" w:rsidR="00D07C57" w:rsidRPr="00D07C57" w:rsidRDefault="00D07C57" w:rsidP="00D07C57">
      <w:pPr>
        <w:pStyle w:val="Body1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07C57">
        <w:rPr>
          <w:rFonts w:ascii="Calibri" w:hAnsi="Calibri"/>
          <w:sz w:val="22"/>
          <w:szCs w:val="22"/>
        </w:rPr>
        <w:t>Research relevant to classroom practice</w:t>
      </w:r>
    </w:p>
    <w:p w14:paraId="52EA0879" w14:textId="77777777" w:rsidR="00D07C57" w:rsidRPr="00D07C57" w:rsidRDefault="00D07C57" w:rsidP="00D07C57">
      <w:pPr>
        <w:pStyle w:val="Body1"/>
        <w:rPr>
          <w:rFonts w:ascii="Calibri" w:hAnsi="Calibri"/>
          <w:sz w:val="22"/>
          <w:szCs w:val="22"/>
        </w:rPr>
      </w:pPr>
    </w:p>
    <w:p w14:paraId="507F1C61" w14:textId="7586B46A" w:rsidR="005A5058" w:rsidRPr="00D07C57" w:rsidRDefault="005A5058" w:rsidP="005A5058">
      <w:pPr>
        <w:pStyle w:val="Body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Click here for nomination form.</w:t>
      </w:r>
    </w:p>
    <w:p w14:paraId="7753DB1A" w14:textId="779955D7" w:rsidR="00D07C57" w:rsidRPr="00D07C57" w:rsidRDefault="00D07C57">
      <w:pPr>
        <w:spacing w:after="0" w:line="240" w:lineRule="auto"/>
        <w:rPr>
          <w:rFonts w:cs="Arial"/>
        </w:rPr>
      </w:pPr>
    </w:p>
    <w:p w14:paraId="670969C8" w14:textId="77777777" w:rsidR="00D07C57" w:rsidRPr="005A1FAC" w:rsidRDefault="00D07C57" w:rsidP="00D07C57">
      <w:pPr>
        <w:spacing w:after="0"/>
        <w:rPr>
          <w:rFonts w:cs="Arial"/>
          <w:b/>
        </w:rPr>
      </w:pPr>
      <w:r w:rsidRPr="00D07C57">
        <w:rPr>
          <w:rFonts w:cs="Arial"/>
          <w:b/>
        </w:rPr>
        <w:t xml:space="preserve">Media Award </w:t>
      </w:r>
    </w:p>
    <w:p w14:paraId="6F2C08E0" w14:textId="77777777" w:rsidR="00D07C57" w:rsidRPr="005A1FAC" w:rsidRDefault="00D07C57" w:rsidP="00D07C57">
      <w:pPr>
        <w:spacing w:after="0"/>
        <w:rPr>
          <w:rFonts w:cs="Arial"/>
          <w:b/>
        </w:rPr>
      </w:pPr>
      <w:r w:rsidRPr="005A1FAC">
        <w:rPr>
          <w:rFonts w:cs="Arial"/>
          <w:b/>
        </w:rPr>
        <w:t>(One Award)</w:t>
      </w:r>
    </w:p>
    <w:p w14:paraId="075D76CF" w14:textId="77777777" w:rsidR="00D07C57" w:rsidRPr="00D07C57" w:rsidRDefault="00D07C57" w:rsidP="00D07C57">
      <w:pPr>
        <w:spacing w:after="0"/>
        <w:rPr>
          <w:rFonts w:cs="Arial"/>
        </w:rPr>
      </w:pPr>
    </w:p>
    <w:p w14:paraId="27A39960" w14:textId="6BE7601E" w:rsidR="00D07C57" w:rsidRPr="00D07C57" w:rsidRDefault="00D07C57" w:rsidP="00D07C57">
      <w:pPr>
        <w:spacing w:after="0"/>
        <w:rPr>
          <w:rFonts w:cs="Arial"/>
        </w:rPr>
      </w:pPr>
      <w:proofErr w:type="gramStart"/>
      <w:r w:rsidRPr="00D07C57">
        <w:rPr>
          <w:rFonts w:cs="Arial"/>
        </w:rPr>
        <w:t xml:space="preserve">During the period </w:t>
      </w:r>
      <w:r w:rsidR="0011052B">
        <w:rPr>
          <w:rFonts w:cs="Arial"/>
        </w:rPr>
        <w:t>between 1 November 2014</w:t>
      </w:r>
      <w:r w:rsidRPr="00D07C57">
        <w:rPr>
          <w:rFonts w:cs="Arial"/>
        </w:rPr>
        <w:t xml:space="preserve"> and </w:t>
      </w:r>
      <w:r w:rsidR="0011052B">
        <w:rPr>
          <w:rFonts w:cs="Arial"/>
        </w:rPr>
        <w:t>31</w:t>
      </w:r>
      <w:r w:rsidR="007D2444">
        <w:rPr>
          <w:rFonts w:cs="Arial"/>
        </w:rPr>
        <w:t xml:space="preserve"> </w:t>
      </w:r>
      <w:r w:rsidR="0011052B">
        <w:rPr>
          <w:rFonts w:cs="Arial"/>
        </w:rPr>
        <w:t>December</w:t>
      </w:r>
      <w:r w:rsidR="009A3382">
        <w:rPr>
          <w:rFonts w:cs="Arial"/>
        </w:rPr>
        <w:t xml:space="preserve"> 201</w:t>
      </w:r>
      <w:r w:rsidR="0011052B">
        <w:rPr>
          <w:rFonts w:cs="Arial"/>
        </w:rPr>
        <w:t>5</w:t>
      </w:r>
      <w:r w:rsidR="007D2444">
        <w:rPr>
          <w:rFonts w:cs="Arial"/>
        </w:rPr>
        <w:t>.</w:t>
      </w:r>
      <w:proofErr w:type="gramEnd"/>
    </w:p>
    <w:p w14:paraId="4A3FB7DD" w14:textId="77777777" w:rsidR="00D07C57" w:rsidRPr="00D07C57" w:rsidRDefault="00D07C57" w:rsidP="00D07C57">
      <w:pPr>
        <w:spacing w:after="0"/>
        <w:rPr>
          <w:rFonts w:cs="Arial"/>
        </w:rPr>
      </w:pPr>
    </w:p>
    <w:p w14:paraId="097D77C6" w14:textId="77777777" w:rsidR="00D07C57" w:rsidRPr="00D07C57" w:rsidRDefault="00D07C57" w:rsidP="00D07C57">
      <w:pPr>
        <w:widowControl w:val="0"/>
        <w:autoSpaceDE w:val="0"/>
        <w:autoSpaceDN w:val="0"/>
        <w:adjustRightInd w:val="0"/>
        <w:spacing w:after="400" w:line="240" w:lineRule="auto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The award recognise excellence in the reporting of educational issues to the public through the media. Entries must have national significance.</w:t>
      </w:r>
    </w:p>
    <w:p w14:paraId="2D689C48" w14:textId="38B2E887" w:rsidR="00D07C57" w:rsidRPr="00D07C57" w:rsidRDefault="00D07C57" w:rsidP="005A5058">
      <w:pPr>
        <w:widowControl w:val="0"/>
        <w:tabs>
          <w:tab w:val="left" w:pos="2826"/>
        </w:tabs>
        <w:autoSpaceDE w:val="0"/>
        <w:autoSpaceDN w:val="0"/>
        <w:adjustRightInd w:val="0"/>
        <w:spacing w:after="400" w:line="240" w:lineRule="auto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The criteria for the award:</w:t>
      </w:r>
      <w:r w:rsidR="005A5058">
        <w:rPr>
          <w:rFonts w:cs="Arial"/>
          <w:lang w:val="en-US" w:eastAsia="en-AU"/>
        </w:rPr>
        <w:tab/>
      </w:r>
    </w:p>
    <w:p w14:paraId="21403639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1. Newsworthiness (public relevance and interest at the time of publication)</w:t>
      </w:r>
    </w:p>
    <w:p w14:paraId="376CE7CC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2. Breadth and depth of research, investigation and analysis</w:t>
      </w:r>
    </w:p>
    <w:p w14:paraId="680554B3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3. Effectiveness of techniques and communication</w:t>
      </w:r>
    </w:p>
    <w:p w14:paraId="2F8F3DD5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4. Evidence of impact on policy makers, teachers and the public</w:t>
      </w:r>
    </w:p>
    <w:p w14:paraId="2543CFF3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5. Originality and innovation</w:t>
      </w:r>
    </w:p>
    <w:p w14:paraId="358D6044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>6. Ethical reporting</w:t>
      </w:r>
    </w:p>
    <w:p w14:paraId="0BB2D305" w14:textId="77777777" w:rsidR="00D07C57" w:rsidRDefault="00D07C57" w:rsidP="00D07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lang w:val="en-US" w:eastAsia="en-AU"/>
        </w:rPr>
      </w:pPr>
    </w:p>
    <w:p w14:paraId="665610C6" w14:textId="21363C45" w:rsidR="005A1FAC" w:rsidRPr="00D07C57" w:rsidRDefault="00586505" w:rsidP="00D07C5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  <w:lang w:val="en-US" w:eastAsia="en-AU"/>
        </w:rPr>
      </w:pPr>
      <w:r w:rsidRPr="00251AC8">
        <w:rPr>
          <w:rFonts w:cs="Arial"/>
          <w:lang w:val="en-US" w:eastAsia="en-AU"/>
        </w:rPr>
        <w:t xml:space="preserve">Please note: Entries will require the submission of a </w:t>
      </w:r>
      <w:r w:rsidR="005A1FAC" w:rsidRPr="00251AC8">
        <w:rPr>
          <w:rFonts w:cs="Arial"/>
          <w:lang w:val="en-US" w:eastAsia="en-AU"/>
        </w:rPr>
        <w:t xml:space="preserve">single </w:t>
      </w:r>
      <w:r w:rsidR="005A5058">
        <w:rPr>
          <w:rFonts w:cs="Arial"/>
          <w:lang w:val="en-US" w:eastAsia="en-AU"/>
        </w:rPr>
        <w:t xml:space="preserve">reporting </w:t>
      </w:r>
      <w:r w:rsidR="005A1FAC" w:rsidRPr="00251AC8">
        <w:rPr>
          <w:rFonts w:cs="Arial"/>
          <w:lang w:val="en-US" w:eastAsia="en-AU"/>
        </w:rPr>
        <w:t>work or up to three</w:t>
      </w:r>
      <w:r w:rsidRPr="00251AC8">
        <w:rPr>
          <w:rFonts w:cs="Arial"/>
          <w:lang w:val="en-US" w:eastAsia="en-AU"/>
        </w:rPr>
        <w:t xml:space="preserve"> pieces relating to the same matter.</w:t>
      </w:r>
    </w:p>
    <w:p w14:paraId="0ECE7158" w14:textId="77777777" w:rsidR="00D07C57" w:rsidRPr="00D07C57" w:rsidRDefault="00D07C57" w:rsidP="00D07C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D07C57">
        <w:rPr>
          <w:rFonts w:cs="Arial"/>
          <w:lang w:val="en-US" w:eastAsia="en-AU"/>
        </w:rPr>
        <w:tab/>
      </w:r>
      <w:r w:rsidRPr="00D07C57">
        <w:rPr>
          <w:rFonts w:cs="Arial"/>
          <w:lang w:val="en-US" w:eastAsia="en-AU"/>
        </w:rPr>
        <w:tab/>
      </w:r>
    </w:p>
    <w:p w14:paraId="275B8D51" w14:textId="219544EF" w:rsidR="00D07C57" w:rsidRPr="00A30857" w:rsidRDefault="005A5058" w:rsidP="00A30857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cs="Arial"/>
          <w:lang w:val="en-US" w:eastAsia="en-AU"/>
        </w:rPr>
      </w:pPr>
      <w:r w:rsidRPr="005A5058">
        <w:t>Click here for nomination form.</w:t>
      </w:r>
    </w:p>
    <w:p w14:paraId="2B3B298C" w14:textId="0E3D308A" w:rsidR="00AC3008" w:rsidRDefault="0008453C" w:rsidP="00153B00">
      <w:pPr>
        <w:spacing w:after="0" w:line="240" w:lineRule="auto"/>
        <w:rPr>
          <w:b/>
        </w:rPr>
      </w:pPr>
      <w:r>
        <w:rPr>
          <w:b/>
        </w:rPr>
        <w:t>Our Sponsors</w:t>
      </w:r>
    </w:p>
    <w:p w14:paraId="76824902" w14:textId="77777777" w:rsidR="00A30857" w:rsidRPr="0006719D" w:rsidRDefault="00A30857" w:rsidP="00153B00">
      <w:pPr>
        <w:spacing w:after="0" w:line="240" w:lineRule="auto"/>
        <w:rPr>
          <w:b/>
        </w:rPr>
      </w:pPr>
    </w:p>
    <w:p w14:paraId="28F29BCE" w14:textId="6AED2E2F" w:rsidR="00132F77" w:rsidRPr="00D07C57" w:rsidRDefault="0008453C" w:rsidP="00153B00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585D12E0" wp14:editId="1A9AC547">
            <wp:extent cx="1161671" cy="800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382" cy="80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F77" w:rsidRPr="00D07C57" w:rsidSect="00AC30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33F8D" w14:textId="77777777" w:rsidR="00E806FC" w:rsidRDefault="00E806FC" w:rsidP="00D97D2A">
      <w:pPr>
        <w:spacing w:after="0" w:line="240" w:lineRule="auto"/>
      </w:pPr>
      <w:r>
        <w:separator/>
      </w:r>
    </w:p>
  </w:endnote>
  <w:endnote w:type="continuationSeparator" w:id="0">
    <w:p w14:paraId="1F684454" w14:textId="77777777" w:rsidR="00E806FC" w:rsidRDefault="00E806FC" w:rsidP="00D9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E3797" w14:textId="77777777" w:rsidR="00153B00" w:rsidRDefault="00153B00" w:rsidP="001B2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4D2200" w14:textId="77777777" w:rsidR="00153B00" w:rsidRDefault="0015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74AD3" w14:textId="77777777" w:rsidR="00153B00" w:rsidRDefault="00153B00" w:rsidP="001B23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F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FD8A16" w14:textId="77777777" w:rsidR="00153B00" w:rsidRDefault="00153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F5ED5" w14:textId="77777777" w:rsidR="00153B00" w:rsidRDefault="0015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A3EFC" w14:textId="77777777" w:rsidR="00E806FC" w:rsidRDefault="00E806FC" w:rsidP="00D97D2A">
      <w:pPr>
        <w:spacing w:after="0" w:line="240" w:lineRule="auto"/>
      </w:pPr>
      <w:r>
        <w:separator/>
      </w:r>
    </w:p>
  </w:footnote>
  <w:footnote w:type="continuationSeparator" w:id="0">
    <w:p w14:paraId="27E5DF0B" w14:textId="77777777" w:rsidR="00E806FC" w:rsidRDefault="00E806FC" w:rsidP="00D97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D7723" w14:textId="1DABC5CE" w:rsidR="00153B00" w:rsidRDefault="0015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2149" w14:textId="27A5C60E" w:rsidR="00153B00" w:rsidRPr="00D97D2A" w:rsidRDefault="00153B00" w:rsidP="00D97D2A">
    <w:pPr>
      <w:spacing w:after="0"/>
      <w:rPr>
        <w:rFonts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530AE" w14:textId="61D02495" w:rsidR="00153B00" w:rsidRDefault="0015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786994"/>
    <w:multiLevelType w:val="hybridMultilevel"/>
    <w:tmpl w:val="12F0ED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1239"/>
    <w:multiLevelType w:val="hybridMultilevel"/>
    <w:tmpl w:val="AA947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60FA3"/>
    <w:multiLevelType w:val="hybridMultilevel"/>
    <w:tmpl w:val="19DEB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65216"/>
    <w:multiLevelType w:val="hybridMultilevel"/>
    <w:tmpl w:val="CEC84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44EC0"/>
    <w:multiLevelType w:val="hybridMultilevel"/>
    <w:tmpl w:val="D2243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57"/>
    <w:rsid w:val="0006719D"/>
    <w:rsid w:val="000742E8"/>
    <w:rsid w:val="0008378A"/>
    <w:rsid w:val="0008453C"/>
    <w:rsid w:val="0011052B"/>
    <w:rsid w:val="00132F77"/>
    <w:rsid w:val="00153B00"/>
    <w:rsid w:val="001B231B"/>
    <w:rsid w:val="002239D6"/>
    <w:rsid w:val="00251AC8"/>
    <w:rsid w:val="002F1D80"/>
    <w:rsid w:val="003372A6"/>
    <w:rsid w:val="00531781"/>
    <w:rsid w:val="00586505"/>
    <w:rsid w:val="005A1FAC"/>
    <w:rsid w:val="005A5058"/>
    <w:rsid w:val="005C32FF"/>
    <w:rsid w:val="007C3E3B"/>
    <w:rsid w:val="007D2444"/>
    <w:rsid w:val="00893032"/>
    <w:rsid w:val="00920E94"/>
    <w:rsid w:val="009A3382"/>
    <w:rsid w:val="00A30857"/>
    <w:rsid w:val="00A32619"/>
    <w:rsid w:val="00AA5FF5"/>
    <w:rsid w:val="00AC10FE"/>
    <w:rsid w:val="00AC3008"/>
    <w:rsid w:val="00AF6A64"/>
    <w:rsid w:val="00B816A0"/>
    <w:rsid w:val="00B873D5"/>
    <w:rsid w:val="00C2669A"/>
    <w:rsid w:val="00C70D99"/>
    <w:rsid w:val="00D07C57"/>
    <w:rsid w:val="00D66C88"/>
    <w:rsid w:val="00D73A33"/>
    <w:rsid w:val="00D77DE4"/>
    <w:rsid w:val="00D81E10"/>
    <w:rsid w:val="00D97D2A"/>
    <w:rsid w:val="00E806FC"/>
    <w:rsid w:val="00F74F7F"/>
    <w:rsid w:val="00FB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436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5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C57"/>
    <w:pPr>
      <w:ind w:left="720"/>
      <w:contextualSpacing/>
    </w:pPr>
  </w:style>
  <w:style w:type="paragraph" w:customStyle="1" w:styleId="Body1">
    <w:name w:val="Body 1"/>
    <w:rsid w:val="00D07C57"/>
    <w:rPr>
      <w:rFonts w:ascii="Helvetica" w:eastAsia="Arial Unicode MS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57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7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2A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7D2A"/>
  </w:style>
  <w:style w:type="paragraph" w:styleId="Header">
    <w:name w:val="header"/>
    <w:basedOn w:val="Normal"/>
    <w:link w:val="HeaderChar"/>
    <w:uiPriority w:val="99"/>
    <w:unhideWhenUsed/>
    <w:rsid w:val="00D97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2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7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5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7C57"/>
    <w:pPr>
      <w:ind w:left="720"/>
      <w:contextualSpacing/>
    </w:pPr>
  </w:style>
  <w:style w:type="paragraph" w:customStyle="1" w:styleId="Body1">
    <w:name w:val="Body 1"/>
    <w:rsid w:val="00D07C57"/>
    <w:rPr>
      <w:rFonts w:ascii="Helvetica" w:eastAsia="Arial Unicode MS" w:hAnsi="Helvetica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5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57"/>
    <w:rPr>
      <w:rFonts w:ascii="Lucida Grande" w:eastAsia="Calibr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7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2A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97D2A"/>
  </w:style>
  <w:style w:type="paragraph" w:styleId="Header">
    <w:name w:val="header"/>
    <w:basedOn w:val="Normal"/>
    <w:link w:val="HeaderChar"/>
    <w:uiPriority w:val="99"/>
    <w:unhideWhenUsed/>
    <w:rsid w:val="00D97D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2A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D7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DEC85-3148-45AF-B3B0-2194E5F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Gazis</dc:creator>
  <cp:lastModifiedBy>Windows User</cp:lastModifiedBy>
  <cp:revision>2</cp:revision>
  <cp:lastPrinted>2012-09-19T03:21:00Z</cp:lastPrinted>
  <dcterms:created xsi:type="dcterms:W3CDTF">2015-12-16T00:01:00Z</dcterms:created>
  <dcterms:modified xsi:type="dcterms:W3CDTF">2015-12-16T00:01:00Z</dcterms:modified>
</cp:coreProperties>
</file>